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sz w:val="36"/>
          <w:szCs w:val="36"/>
        </w:rPr>
      </w:pPr>
      <w:r>
        <w:rPr>
          <w:sz w:val="36"/>
          <w:szCs w:val="36"/>
        </w:rPr>
        <w:t>Návrh závěrečného účtu města Jesenice za rok 2020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(§ 17 zákona č.250/2000 Sb., o rozpočtových pravidlech územních rozpočtů, ve znění platných předpisů)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Údaje o plnění příjmů a výdajů za rok 2020 ( údaje jsou v tis.Kč)</w:t>
      </w:r>
    </w:p>
    <w:p>
      <w:pPr>
        <w:pStyle w:val="Standard"/>
        <w:ind w:left="360" w:hanging="0"/>
        <w:rPr>
          <w:b/>
          <w:b/>
          <w:bCs/>
        </w:rPr>
      </w:pPr>
      <w:r>
        <w:rPr>
          <w:b/>
          <w:bCs/>
        </w:rPr>
      </w:r>
    </w:p>
    <w:tbl>
      <w:tblPr>
        <w:tblW w:w="9222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49"/>
        <w:gridCol w:w="1470"/>
        <w:gridCol w:w="1470"/>
        <w:gridCol w:w="1470"/>
        <w:gridCol w:w="1486"/>
        <w:gridCol w:w="1676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Schválený rozpočet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Rozpočtová opatření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Upravený rozpočet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Plnění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 31.12.2020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% plnění k upravenému rozpočtu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Třída 1 – Daňové příjmy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32 041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5 460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37 501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35 631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95,01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Třída 2 – Nedaňové příjmy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8 095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8 535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8 058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94,42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Třída 3 – Kapitálové příjmy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595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2 381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2 976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3 273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109,98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Třída 4 – Přijaté transfery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41 173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32 476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73 649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32 078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43,56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dpis1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Příjmy celkem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81 904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40 757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122 661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79 040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64,44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Třída 5 –  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Běžné výdaje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31 817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13 929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45 746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39 930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87,29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Třída 6 – Kapitálové výdaje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 xml:space="preserve">62 512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19 194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81 706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25 473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31,18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dpis1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Výdaje celkem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94 329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33 123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127 452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65 403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51,31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Saldo: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 xml:space="preserve"> </w:t>
            </w:r>
            <w:r>
              <w:rPr>
                <w:rFonts w:cs="Calibri" w:ascii="Calibri" w:hAnsi="Calibri"/>
                <w:b/>
                <w:bCs/>
              </w:rPr>
              <w:t>Příjmy - výdaje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 xml:space="preserve">         </w:t>
            </w:r>
            <w:r>
              <w:rPr/>
              <w:t>-12 425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7 634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-4 790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13 637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  <w:t>66,58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Třída 8 – financování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Přijaté úvěry a půjčky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0,00</w:t>
            </w:r>
          </w:p>
        </w:tc>
      </w:tr>
      <w:tr>
        <w:trPr>
          <w:trHeight w:val="507" w:hRule="atLeast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Splátky úvěrů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-2 015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-2 015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-2 015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100,00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Fondy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0,00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Prostředky minulých let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14 439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6 805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-11 620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-170,76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Operace z peněž. účtů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-3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Financování celkem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12 424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7 500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4 790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 xml:space="preserve">-13 638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-284,70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Údaje o plnění rozpočtu příjmů, výdajů a o dalších finančních operacích v plném členění podle rozpočtové skladby jsou obsaženy v příloze č.1 a jsou k nahlédnutí na městském úřadu u ekonoma města (výkaz FIN 2-12) nebo dálkovým přístupem na www.jesenice-ra.cz.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Daňové příjmy byly naplněny na 94,92 % oproti upravenému rozpočtu :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650"/>
        <w:gridCol w:w="1470"/>
        <w:gridCol w:w="1529"/>
        <w:gridCol w:w="858"/>
        <w:gridCol w:w="1812"/>
        <w:gridCol w:w="941"/>
        <w:gridCol w:w="1384"/>
      </w:tblGrid>
      <w:tr>
        <w:trPr/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Položky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Skutečnost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Rozpočet schválený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%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Rozpočet upravený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%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Rozdíl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ind w:right="227" w:hang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Sdílené daně (pol.11xx-12xx)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tabs>
                <w:tab w:val="clear" w:pos="708"/>
                <w:tab w:val="left" w:pos="120" w:leader="none"/>
                <w:tab w:val="left" w:pos="1245" w:leader="none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30 045 572,93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26 240 000,00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114,50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31 700 220, 00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94,78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-1 654 647,07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Místní poplatky (pol.133x-134x)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1 600 070,41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1 664 000,00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96,15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1 664 000,00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96,15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 </w:t>
            </w:r>
            <w:r>
              <w:rPr>
                <w:rFonts w:cs="Calibri" w:ascii="Calibri" w:hAnsi="Calibri"/>
                <w:sz w:val="21"/>
                <w:szCs w:val="21"/>
              </w:rPr>
              <w:t>-63 929,59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Správní poplatky (pol.136x)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  </w:t>
            </w:r>
            <w:r>
              <w:rPr>
                <w:rFonts w:cs="Calibri" w:ascii="Calibri" w:hAnsi="Calibri"/>
                <w:sz w:val="21"/>
                <w:szCs w:val="21"/>
              </w:rPr>
              <w:t>155 717,64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   </w:t>
            </w:r>
            <w:r>
              <w:rPr>
                <w:rFonts w:cs="Calibri" w:ascii="Calibri" w:hAnsi="Calibri"/>
                <w:sz w:val="21"/>
                <w:szCs w:val="21"/>
              </w:rPr>
              <w:t>120 000,00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129,76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  </w:t>
            </w:r>
            <w:r>
              <w:rPr>
                <w:rFonts w:cs="Calibri" w:ascii="Calibri" w:hAnsi="Calibri"/>
                <w:sz w:val="21"/>
                <w:szCs w:val="21"/>
              </w:rPr>
              <w:t>120 000,00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129,76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   </w:t>
            </w:r>
            <w:r>
              <w:rPr>
                <w:rFonts w:cs="Calibri" w:ascii="Calibri" w:hAnsi="Calibri"/>
                <w:sz w:val="21"/>
                <w:szCs w:val="21"/>
              </w:rPr>
              <w:t>35 717,64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Daň z hazardních her (pol.138x)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1 606 618,28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1 900 000,00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</w:rPr>
              <w:t>84,55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1 900 000,00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84,55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</w:rPr>
              <w:t>-293 381,72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Daň z nemovitostí (pol.1511)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2 046 767,94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1 965 000,00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</w:rPr>
              <w:t>104,16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1 965 000,00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104,16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    </w:t>
            </w:r>
            <w:r>
              <w:rPr>
                <w:rFonts w:cs="Calibri" w:ascii="Calibri" w:hAnsi="Calibri"/>
                <w:sz w:val="21"/>
                <w:szCs w:val="21"/>
              </w:rPr>
              <w:t>81 767,94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celkem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35 454 747,20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31 889 000,00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111,18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37 349 220,00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94,92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ind w:left="360" w:hang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-1 894 472,80</w:t>
            </w:r>
          </w:p>
        </w:tc>
      </w:tr>
    </w:tbl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Na naplnění nedaňových příjmů schází do 100 % plnění 5,58 %, i přesto byly naplněny příjmy z lesního hospodářství o 688 596,46 Kč, příjmy z pitné vody o 3 250,- Kč, z pronájmu vodních děl, příjmy z kulturní činnosti, příjmy z poskytování služeb a pronájmu nemovitých věcí na nebytovém hospodářství o 84 184,60 Kč, příjmy ve sběru komunálních odpadů o 19 587,37 Kč a z prodeje drobného majetku na SD o 24 732,41 Kč  a příjmy za přestupky o 23 534,- Kč. Na naplnění kapitálových příjmů o 9,98 % se podílí především  příjmy z prodeje pozemků  ( o 299 558,- Kč oproti upravenému rozpočtu).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Běžné výdaje – nedočerpány plánované výdaje u filmové distribuce a kina, spotřeba pevných paliv, služeb a oprav  v KD, u KK se týká platů, spotřeby materiálů, služeb i pohoštění, u BH byly menší výdaje na spotřebě tepla, elektrické energie, nájemného. 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Kapitálové výdaje – nebyly vyčerpány prostředky u BH – Rekonstrukce čp. 220, u požární ochrany – dostavba zbrojnice.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rPr>
          <w:b/>
          <w:b/>
          <w:bCs/>
        </w:rPr>
      </w:pPr>
      <w:r>
        <w:rPr>
          <w:b/>
          <w:bCs/>
        </w:rPr>
        <w:t>Hospodářská činnost města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Město vedlo hospodářskou činnost na tyto výnosy a související náklady:</w:t>
      </w:r>
    </w:p>
    <w:p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>
        <w:rPr>
          <w:rFonts w:cs="Calibri" w:ascii="Calibri" w:hAnsi="Calibri"/>
        </w:rPr>
        <w:t>Provoz kempu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Hospodářský výsledek k 31.12.2020 :  - 431 521,73 Kč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 xml:space="preserve">V roce 2020 byla prováděna běžná údržba, rekonstrukce chat A5 +A6.    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7"/>
        </w:numPr>
        <w:ind w:left="714" w:hanging="357"/>
        <w:rPr>
          <w:b/>
          <w:b/>
          <w:bCs/>
        </w:rPr>
      </w:pPr>
      <w:r>
        <w:rPr>
          <w:b/>
          <w:bCs/>
        </w:rPr>
        <w:t>Údaje o hospodaření s majetkem a dalších finančních operací</w:t>
      </w:r>
    </w:p>
    <w:p>
      <w:pPr>
        <w:pStyle w:val="Standard"/>
        <w:jc w:val="both"/>
        <w:rPr>
          <w:bCs/>
        </w:rPr>
      </w:pPr>
      <w:r>
        <w:rPr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bCs/>
        </w:rPr>
        <w:t xml:space="preserve">Rozvaha, Výkaz zisků a ztráty a Příloha účetní závěrky jsou obsaženy v Příloze č.2 a jsou k nahlédnutí na městském úřadu u ekonoma města </w:t>
      </w:r>
      <w:r>
        <w:rPr>
          <w:rFonts w:cs="Calibri" w:ascii="Calibri" w:hAnsi="Calibri"/>
        </w:rPr>
        <w:t>nebo dálkovým přístupem na www.jesenice-ra.cz.</w:t>
      </w:r>
      <w:r>
        <w:rPr>
          <w:rFonts w:cs="Calibri" w:ascii="Calibri" w:hAnsi="Calibri"/>
          <w:bCs/>
        </w:rPr>
        <w:t xml:space="preserve"> Výkazy obsahují údaje o stavu a vývoji majetku za běžný rok a dalších finančních operacích.</w:t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numPr>
          <w:ilvl w:val="0"/>
          <w:numId w:val="7"/>
        </w:numPr>
        <w:ind w:left="714" w:hanging="357"/>
        <w:rPr>
          <w:b/>
          <w:b/>
          <w:bCs/>
        </w:rPr>
      </w:pPr>
      <w:r>
        <w:rPr>
          <w:b/>
          <w:bCs/>
        </w:rPr>
        <w:t>Stav účelových fondů a finančních aktiv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  <w:t>4.1. Fond rozvoje bydlení</w:t>
        <w:tab/>
        <w:tab/>
        <w:tab/>
        <w:t>stav k 31.12.2020            953 118,32 Kč</w:t>
        <w:tab/>
      </w:r>
    </w:p>
    <w:p>
      <w:pPr>
        <w:pStyle w:val="Standard"/>
        <w:jc w:val="both"/>
        <w:rPr/>
      </w:pPr>
      <w:r>
        <w:rPr/>
        <w:t xml:space="preserve">Příjmy fondu tvořily splátky z půjček poskytnutých v minulých letech a úroky, výdaje fondu nebyly žádné.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4.2. Sociální fond</w:t>
        <w:tab/>
        <w:tab/>
        <w:tab/>
        <w:tab/>
        <w:t>stav k 31.12.2020</w:t>
        <w:tab/>
        <w:t xml:space="preserve">     61 890,89 Kč</w:t>
      </w:r>
    </w:p>
    <w:p>
      <w:pPr>
        <w:pStyle w:val="Standard"/>
        <w:jc w:val="both"/>
        <w:rPr/>
      </w:pPr>
      <w:r>
        <w:rPr/>
        <w:t>Tvorba a čerpání fondu se řídí rozpočtem města a Směrnicí pro tvorbu a použití sociálního fondu.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7"/>
        </w:numPr>
        <w:rPr>
          <w:b/>
          <w:b/>
        </w:rPr>
      </w:pPr>
      <w:r>
        <w:rPr>
          <w:b/>
        </w:rPr>
        <w:t>Přijaté úvěry</w:t>
      </w:r>
    </w:p>
    <w:p>
      <w:pPr>
        <w:pStyle w:val="Standard"/>
        <w:rPr/>
      </w:pPr>
      <w:r>
        <w:rPr/>
      </w:r>
    </w:p>
    <w:p>
      <w:pPr>
        <w:pStyle w:val="Standard"/>
        <w:ind w:firstLine="360"/>
        <w:jc w:val="both"/>
        <w:rPr/>
      </w:pPr>
      <w:r>
        <w:rPr/>
        <w:t>V roce 2011 podepsalo město smlouvu o úvěru ve výši 8 mil. Kč se Státním fondem rozvoje bydlení. Z tohoto úvěru město čerpalo na opravy vlastního bytového fondu - opravy kanalizace, fasády, elektroinstalace apod.). V roce 2020 město uhradilo 1 231 912,-Kč (úrok 101 395,88 Kč, splátka 1 130 516,12 Kč), zůstatek úvěru – 307 973,44 Kč.</w:t>
      </w:r>
    </w:p>
    <w:p>
      <w:pPr>
        <w:pStyle w:val="Standard"/>
        <w:ind w:firstLine="360"/>
        <w:jc w:val="both"/>
        <w:rPr/>
      </w:pPr>
      <w:r>
        <w:rPr/>
        <w:t>V roce 2018 uzavřelo město s ČSOB, a.s., smlouvu o úvěru na 7 500 000,-Kč na nákup nemovitosti čp.420 včetně zastavěné plochy. Úvěr je splatný k 25.7.2028.</w:t>
      </w:r>
    </w:p>
    <w:p>
      <w:pPr>
        <w:pStyle w:val="Standard"/>
        <w:ind w:firstLine="360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Hospodaření příspěvkové organizace zřízené městem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>
          <w:rFonts w:cs="Calibri" w:ascii="Calibri" w:hAnsi="Calibri"/>
          <w:i/>
        </w:rPr>
        <w:t>Základní škola a mateřská škola Jesenice</w:t>
      </w:r>
      <w:r>
        <w:rPr>
          <w:rFonts w:cs="Calibri" w:ascii="Calibri" w:hAnsi="Calibri"/>
        </w:rPr>
        <w:t>: výsledek hospodaření k 31.12.2020 : 12 145,11 Kč, z toho hlavní činnost -148 504,43 Kč, hospodářská činnost 160 649,54 Kč.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Návrh finančního vypořádání byl předložen na 60. zasedání rady města dne 9.3.2021. Rada města rozhodla, že zisk za rok 2020 bude převeden do  rezervního fondu (usnesení č.1177/21).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Fond odměn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FKSP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Fond rezervní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Fond investiční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Počáteční stav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201 173,00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106 866,02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888 428,96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369 203,93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Konečný stav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201 173,00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111 176,12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820 924,60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107 543,83</w:t>
            </w:r>
          </w:p>
        </w:tc>
      </w:tr>
    </w:tbl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Roční účetní závěrka zřízené příspěvkové organizace včetně všech zákonem předepsaných výkazů je založena na ekonomickém odboru obce.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indent"/>
        <w:ind w:hanging="0"/>
        <w:rPr/>
      </w:pPr>
      <w:r>
        <w:rPr/>
      </w:r>
    </w:p>
    <w:p>
      <w:pPr>
        <w:pStyle w:val="Textbodyindent"/>
        <w:rPr/>
      </w:pPr>
      <w:r>
        <w:rPr/>
        <w:t>7a)   Vyúčtování finančních vztahů ke státnímu rozpočtu a ostatním rozpočtům veřejné úrovně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Dotace do rozpočtu města za rok 2020 činily celkem 6 336 313,51 Kč. Rozpis přijatých dotací a jejich čerpání v průběhu roku 2018 je zpracován v tabulce. Dotace byly řádně vyúčtovány, nevyčerpané prostředky byly v termínu vráceny.</w:t>
      </w:r>
    </w:p>
    <w:p>
      <w:pPr>
        <w:pStyle w:val="Standard"/>
        <w:rPr/>
      </w:pPr>
      <w:r>
        <w:rPr/>
      </w:r>
    </w:p>
    <w:tbl>
      <w:tblPr>
        <w:tblW w:w="10217" w:type="dxa"/>
        <w:jc w:val="left"/>
        <w:tblInd w:w="-4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30"/>
        <w:gridCol w:w="854"/>
        <w:gridCol w:w="1921"/>
        <w:gridCol w:w="629"/>
        <w:gridCol w:w="1590"/>
        <w:gridCol w:w="1410"/>
        <w:gridCol w:w="1563"/>
        <w:gridCol w:w="718"/>
      </w:tblGrid>
      <w:tr>
        <w:trPr>
          <w:trHeight w:val="365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poskytovatel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ÚZ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Pol.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Rozpočet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Čerpání-ČR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Čerpání-EU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%</w:t>
            </w:r>
          </w:p>
        </w:tc>
      </w:tr>
      <w:tr>
        <w:trPr>
          <w:trHeight w:val="418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MF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98024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Příspěvek pro obce – COV 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2 122 500,00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396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  <w:t>98193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volby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113 000,00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89 056,30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416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Úřad práce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13101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Asistent prevence kriminality VPP V36/2019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254 269,00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254 269,00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416" w:hRule="atLeast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14004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14004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Neinvestiční příspěvek JSDH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150 000,00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83 680,00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150 000,00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83 680,00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416" w:hRule="atLeast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MPMR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17016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17969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Boříme bariéry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>4216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4 093 342,00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201 416,09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4 093 342,00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  <w:t>201 416,09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416" w:hRule="atLeast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13015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výkon SP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81 431,00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81 431,00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416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MZe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29014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obnovu, zajištění a výchovu porostů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142 640,00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142 640,00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29027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Obnova ohradní zdi Jesenice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200 000,00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Úřad práce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13013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VPP VZ 4/2019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105 000,00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18 501,00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86 499,00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422" w:hRule="atLeast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Úřad práce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13013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VPP VZ 4/20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384 329,56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83 864,16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300 465,40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518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Úřad práce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13013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SZ 3/20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75 663,00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13 321,83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62 341,17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>
          <w:trHeight w:val="544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611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vybavení místní knihovny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41 000,00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39 957,43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97,45</w:t>
            </w:r>
          </w:p>
        </w:tc>
      </w:tr>
      <w:tr>
        <w:trPr>
          <w:trHeight w:val="544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zřizování nových oplocenek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42 970,00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42 970,00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544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vybavení jednotky SDH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4122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150 000,00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150 000,00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MF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98858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Část dotace na MŠ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9 655 291,17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9 655 291,17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SZIF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89518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89517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Lesní cestu Plávečskou</w:t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4213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>4213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1 919 999,00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1 080 000,00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1 080 000,00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  <w:t>1 919 999,00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SFŽP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90992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pořízení elektromobilu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1 200 000,00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1 200 000,00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SZIF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89518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89517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Lesní posilovnu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4213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>4213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246 284,00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138 536,00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138 536,00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246 284,00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MPMR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17969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17968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čp. 232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4216</w:t>
            </w:r>
          </w:p>
          <w:p>
            <w:pPr>
              <w:pStyle w:val="Standard"/>
              <w:widowControl w:val="false"/>
              <w:rPr/>
            </w:pPr>
            <w:r>
              <w:rPr/>
              <w:t>4216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1 282 213,74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80 902,81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  <w:t>80 902,81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1 282 213,74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MPMR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17969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VO Žatecká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1 292 271,23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1 292 271,23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MPMR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17969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Dotace na chodníky WINNEZ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1 039 987,80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1 039 987,80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812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Obnova venkova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1 689 000,00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1 689 000,00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KÚSK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 část dotace – Hasičská zbrojnice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4222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952 152,00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952 152,00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right"/>
              <w:rPr/>
            </w:pPr>
            <w:r>
              <w:rPr/>
              <w:t>100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Times New Roman,Bold" w:hAnsi="Times New Roman,Bold" w:eastAsia="Calibri" w:cs="Times New Roman,Bold" w:eastAsiaTheme="minorHAnsi"/>
          <w:b/>
          <w:b/>
          <w:bCs/>
          <w:kern w:val="0"/>
          <w:lang w:eastAsia="en-US" w:bidi="ar-SA"/>
        </w:rPr>
      </w:pPr>
      <w:r>
        <w:rPr>
          <w:rFonts w:eastAsia="Calibri" w:cs="Times New Roman,Bold" w:eastAsiaTheme="minorHAnsi" w:ascii="Times New Roman,Bold" w:hAnsi="Times New Roman,Bold"/>
          <w:b/>
          <w:bCs/>
          <w:kern w:val="0"/>
          <w:lang w:eastAsia="en-US" w:bidi="ar-SA"/>
        </w:rPr>
      </w:r>
    </w:p>
    <w:p>
      <w:pPr>
        <w:pStyle w:val="Standard"/>
        <w:rPr>
          <w:rFonts w:ascii="Times New Roman,Bold" w:hAnsi="Times New Roman,Bold" w:eastAsia="Calibri" w:cs="Times New Roman,Bold" w:eastAsiaTheme="minorHAnsi"/>
          <w:b/>
          <w:b/>
          <w:bCs/>
          <w:kern w:val="0"/>
          <w:lang w:eastAsia="en-US" w:bidi="ar-SA"/>
        </w:rPr>
      </w:pPr>
      <w:r>
        <w:rPr>
          <w:rFonts w:eastAsia="Calibri" w:cs="Times New Roman,Bold" w:ascii="Times New Roman,Bold" w:hAnsi="Times New Roman,Bold" w:eastAsiaTheme="minorHAnsi"/>
          <w:b/>
          <w:bCs/>
          <w:kern w:val="0"/>
          <w:lang w:eastAsia="en-US" w:bidi="ar-SA"/>
        </w:rPr>
        <w:t>7b) Vyúčtování finančních vztahů k příjemcům podpory z rozpočtu obce</w:t>
      </w:r>
    </w:p>
    <w:p>
      <w:pPr>
        <w:pStyle w:val="Standard"/>
        <w:rPr>
          <w:rFonts w:ascii="Times New Roman,Bold" w:hAnsi="Times New Roman,Bold" w:eastAsia="Calibri" w:cs="Times New Roman,Bold" w:eastAsiaTheme="minorHAnsi"/>
          <w:b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Times New Roman,Bold" w:eastAsiaTheme="minorHAnsi" w:ascii="Times New Roman,Bold" w:hAnsi="Times New Roman,Bold"/>
          <w:b/>
          <w:bCs/>
          <w:kern w:val="0"/>
          <w:sz w:val="22"/>
          <w:szCs w:val="22"/>
          <w:lang w:eastAsia="en-US" w:bidi="ar-SA"/>
        </w:rPr>
      </w:r>
    </w:p>
    <w:tbl>
      <w:tblPr>
        <w:tblStyle w:val="Mkatabulky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2836"/>
        <w:gridCol w:w="2829"/>
      </w:tblGrid>
      <w:tr>
        <w:trPr/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/>
                <w:bCs/>
                <w:kern w:val="0"/>
                <w:lang w:val="cs-CZ" w:eastAsia="en-US" w:bidi="ar-SA"/>
              </w:rPr>
              <w:t>Podpora zájmových skupin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/>
                <w:bCs/>
                <w:kern w:val="0"/>
                <w:lang w:val="cs-CZ" w:eastAsia="en-US" w:bidi="ar-SA"/>
              </w:rPr>
              <w:t>Vyplacená dotace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/>
                <w:bCs/>
                <w:kern w:val="0"/>
                <w:lang w:val="cs-CZ" w:eastAsia="en-US" w:bidi="ar-SA"/>
              </w:rPr>
              <w:t>Odvod nevyčerpané dotace do rozpočtu obce</w:t>
            </w:r>
          </w:p>
        </w:tc>
      </w:tr>
      <w:tr>
        <w:trPr>
          <w:trHeight w:val="357" w:hRule="atLeast"/>
        </w:trPr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Nefinanční podnikat. subjekty – práv. osoba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35000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Ústavům a obec. prosp. společnostem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151 570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Spolky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729 922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100 556</w:t>
            </w:r>
          </w:p>
        </w:tc>
      </w:tr>
      <w:tr>
        <w:trPr>
          <w:trHeight w:val="412" w:hRule="atLeast"/>
        </w:trPr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Církve a náboženské společnosti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30 000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Neziskové a podobné organizace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7 938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 xml:space="preserve">                   </w:t>
            </w: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0</w:t>
            </w:r>
          </w:p>
        </w:tc>
      </w:tr>
      <w:tr>
        <w:trPr>
          <w:trHeight w:val="418" w:hRule="atLeast"/>
        </w:trPr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Cizí příspěvkové organizace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 xml:space="preserve">               </w:t>
            </w: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50 000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0</w:t>
            </w:r>
          </w:p>
        </w:tc>
      </w:tr>
      <w:tr>
        <w:trPr>
          <w:trHeight w:val="423" w:hRule="atLeast"/>
        </w:trPr>
        <w:tc>
          <w:tcPr>
            <w:tcW w:w="3963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Obyvatelstvu</w:t>
            </w:r>
          </w:p>
        </w:tc>
        <w:tc>
          <w:tcPr>
            <w:tcW w:w="2836" w:type="dxa"/>
            <w:tcBorders/>
          </w:tcPr>
          <w:p>
            <w:pPr>
              <w:pStyle w:val="Standard"/>
              <w:widowControl/>
              <w:spacing w:before="0" w:after="0"/>
              <w:jc w:val="left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 xml:space="preserve">               </w:t>
            </w: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78 000</w:t>
            </w:r>
          </w:p>
        </w:tc>
        <w:tc>
          <w:tcPr>
            <w:tcW w:w="2829" w:type="dxa"/>
            <w:tcBorders/>
          </w:tcPr>
          <w:p>
            <w:pPr>
              <w:pStyle w:val="Standard"/>
              <w:widowControl/>
              <w:spacing w:before="0" w:after="0"/>
              <w:jc w:val="center"/>
              <w:rPr>
                <w:rFonts w:ascii="Times New Roman,Bold" w:hAnsi="Times New Roman,Bold" w:eastAsia="Calibri" w:cs="Times New Roman,Bold" w:eastAsiaTheme="minorHAnsi"/>
                <w:bCs/>
                <w:kern w:val="0"/>
                <w:lang w:eastAsia="en-US" w:bidi="ar-SA"/>
              </w:rPr>
            </w:pPr>
            <w:r>
              <w:rPr>
                <w:rFonts w:eastAsia="Calibri" w:cs="Times New Roman,Bold" w:ascii="Times New Roman,Bold" w:hAnsi="Times New Roman,Bold" w:eastAsiaTheme="minorHAnsi"/>
                <w:bCs/>
                <w:kern w:val="0"/>
                <w:lang w:val="cs-CZ" w:eastAsia="en-US" w:bidi="ar-SA"/>
              </w:rPr>
              <w:t>4 633</w:t>
            </w:r>
          </w:p>
        </w:tc>
      </w:tr>
    </w:tbl>
    <w:p>
      <w:pPr>
        <w:pStyle w:val="Standard"/>
        <w:rPr>
          <w:rFonts w:ascii="Times New Roman,Bold" w:hAnsi="Times New Roman,Bold" w:eastAsia="Calibri" w:cs="Times New Roman,Bold" w:eastAsiaTheme="minorHAnsi"/>
          <w:bCs/>
          <w:kern w:val="0"/>
          <w:lang w:eastAsia="en-US" w:bidi="ar-SA"/>
        </w:rPr>
      </w:pPr>
      <w:r>
        <w:rPr>
          <w:rFonts w:eastAsia="Calibri" w:cs="Times New Roman,Bold" w:eastAsiaTheme="minorHAnsi" w:ascii="Times New Roman,Bold" w:hAnsi="Times New Roman,Bold"/>
          <w:bCs/>
          <w:kern w:val="0"/>
          <w:lang w:eastAsia="en-US" w:bidi="ar-SA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8)    Zpráva o výsledku přezkoumání hospodaření města za rok 2020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Přezkoumání hospodaření provedly pracovnice Krajského úřadu Středočeského kraje dne 31.08.-01.09.2020 </w:t>
      </w:r>
      <w:r>
        <w:rPr>
          <w:rFonts w:eastAsia="Calibri" w:cs="Times New Roman" w:ascii="Calibri" w:hAnsi="Calibri" w:asciiTheme="minorHAnsi" w:eastAsiaTheme="minorHAnsi" w:hAnsiTheme="minorHAnsi"/>
          <w:kern w:val="0"/>
          <w:lang w:eastAsia="en-US" w:bidi="ar-SA"/>
        </w:rPr>
        <w:t>(příprava dokladů, dílčí přezkum)</w:t>
      </w:r>
      <w:r>
        <w:rPr>
          <w:rFonts w:cs="Calibri" w:ascii="Calibri" w:hAnsi="Calibri" w:asciiTheme="minorHAnsi" w:hAnsiTheme="minorHAnsi"/>
        </w:rPr>
        <w:t xml:space="preserve"> a 30.03.2021 (</w:t>
      </w:r>
      <w:r>
        <w:rPr>
          <w:rFonts w:eastAsia="Calibri" w:cs="Times New Roman" w:ascii="Calibri" w:hAnsi="Calibri" w:asciiTheme="minorHAnsi" w:eastAsiaTheme="minorHAnsi" w:hAnsiTheme="minorHAnsi"/>
          <w:kern w:val="0"/>
          <w:lang w:eastAsia="en-US" w:bidi="ar-SA"/>
        </w:rPr>
        <w:t xml:space="preserve">závěrečné práce, zpracování zpráv) </w:t>
      </w:r>
      <w:r>
        <w:rPr>
          <w:rFonts w:cs="Calibri" w:ascii="Calibri" w:hAnsi="Calibri" w:asciiTheme="minorHAnsi" w:hAnsiTheme="minorHAnsi"/>
        </w:rPr>
        <w:t>na</w:t>
      </w:r>
      <w:r>
        <w:rPr>
          <w:rFonts w:cs="Calibri" w:ascii="Calibri" w:hAnsi="Calibri"/>
        </w:rPr>
        <w:t xml:space="preserve"> základě zákona č.420/2004 Sb., o přezkoumávání hospodaření územních samosprávných celků a dobrovolných svazků obcí, ve znění pozdějších předpisů a v souladu se zákonem č.255/2012 Sb., o kontrole ( kontrolní řád ).</w:t>
      </w:r>
    </w:p>
    <w:p>
      <w:pPr>
        <w:pStyle w:val="Standard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Závěr zprávy :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Při přezkoumání hospodaření města Jesenice za rok 2020 podle § 2 a § 3 zákona č.420/2004 Sb., ve znění pozdějších předpisů byly zjištěny   chyby a nedostatky – porušeny níže uvedené předpisy:</w:t>
      </w:r>
    </w:p>
    <w:p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Vyhláška č. 220/2013 Sb., o požadavcích na schvalování účetních závěrek některých vybraných účetních jednotek, § 28 odst. 1, neboť: Účetní závěrka nebyla schválena do šesti měsíců ode dne, ke kterému byla sestavena.</w:t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Plné znění zprávy o provedeném přezkoumání hospodaření města za rok 2020 je přílohou č.3 k závěrečnému účtu.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 Jesenici 23.4.2020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Předkládá : Markéta Sojková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altName w:val="Bold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17f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cs-CZ"/>
    </w:rPr>
  </w:style>
  <w:style w:type="paragraph" w:styleId="Nadpis1">
    <w:name w:val="Heading 1"/>
    <w:basedOn w:val="Standard"/>
    <w:next w:val="Standard"/>
    <w:link w:val="Nadpis1Char"/>
    <w:uiPriority w:val="9"/>
    <w:qFormat/>
    <w:rsid w:val="00fd17fb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fd17fb"/>
    <w:rPr>
      <w:rFonts w:ascii="Liberation Serif" w:hAnsi="Liberation Serif" w:eastAsia="SimSun" w:cs="Mangal"/>
      <w:b/>
      <w:bCs/>
      <w:kern w:val="2"/>
      <w:sz w:val="24"/>
      <w:szCs w:val="24"/>
      <w:lang w:eastAsia="zh-CN" w:bidi="hi-IN"/>
    </w:rPr>
  </w:style>
  <w:style w:type="character" w:styleId="NzevChar" w:customStyle="1">
    <w:name w:val="Název Char"/>
    <w:basedOn w:val="DefaultParagraphFont"/>
    <w:link w:val="Nzev"/>
    <w:uiPriority w:val="10"/>
    <w:qFormat/>
    <w:rsid w:val="00fd17fb"/>
    <w:rPr>
      <w:rFonts w:ascii="Liberation Serif" w:hAnsi="Liberation Serif" w:eastAsia="SimSun" w:cs="Mangal"/>
      <w:b/>
      <w:bCs/>
      <w:kern w:val="2"/>
      <w:sz w:val="32"/>
      <w:szCs w:val="24"/>
      <w:lang w:eastAsia="zh-CN" w:bidi="hi-IN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fd17fb"/>
    <w:rPr>
      <w:rFonts w:eastAsia="" w:cs="Mangal" w:eastAsiaTheme="minorEastAsia"/>
      <w:color w:val="5A5A5A" w:themeColor="text1" w:themeTint="a5"/>
      <w:spacing w:val="15"/>
      <w:kern w:val="2"/>
      <w:szCs w:val="20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fd17f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cs-CZ"/>
    </w:rPr>
  </w:style>
  <w:style w:type="paragraph" w:styleId="Nzev">
    <w:name w:val="Title"/>
    <w:basedOn w:val="Standard"/>
    <w:next w:val="Podtitul"/>
    <w:link w:val="NzevChar"/>
    <w:uiPriority w:val="10"/>
    <w:qFormat/>
    <w:rsid w:val="00fd17fb"/>
    <w:pPr>
      <w:jc w:val="center"/>
    </w:pPr>
    <w:rPr>
      <w:b/>
      <w:bCs/>
      <w:sz w:val="32"/>
    </w:rPr>
  </w:style>
  <w:style w:type="paragraph" w:styleId="Obsahtabulky" w:customStyle="1">
    <w:name w:val="Obsah tabulky"/>
    <w:basedOn w:val="Standard"/>
    <w:qFormat/>
    <w:rsid w:val="00fd17fb"/>
    <w:pPr>
      <w:suppressLineNumbers/>
    </w:pPr>
    <w:rPr/>
  </w:style>
  <w:style w:type="paragraph" w:styleId="Textbodyindent" w:customStyle="1">
    <w:name w:val="Text body indent"/>
    <w:basedOn w:val="Standard"/>
    <w:qFormat/>
    <w:rsid w:val="00fd17fb"/>
    <w:pPr>
      <w:ind w:firstLine="340"/>
    </w:pPr>
    <w:rPr>
      <w:b/>
      <w:bCs/>
    </w:rPr>
  </w:style>
  <w:style w:type="paragraph" w:styleId="Podtitul">
    <w:name w:val="Subtitle"/>
    <w:basedOn w:val="Normal"/>
    <w:next w:val="Normal"/>
    <w:link w:val="PodnadpisChar"/>
    <w:uiPriority w:val="11"/>
    <w:qFormat/>
    <w:rsid w:val="00fd17fb"/>
    <w:pPr>
      <w:spacing w:before="0" w:after="160"/>
    </w:pPr>
    <w:rPr>
      <w:rFonts w:ascii="Calibri" w:hAnsi="Calibri" w:eastAsia=""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d17fb"/>
  </w:style>
  <w:style w:type="numbering" w:styleId="WW8Num2" w:customStyle="1">
    <w:name w:val="WW8Num2"/>
    <w:qFormat/>
    <w:rsid w:val="00fd17fb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a40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Application>LibreOffice/7.0.1.2$Windows_X86_64 LibreOffice_project/7cbcfc562f6eb6708b5ff7d7397325de9e764452</Application>
  <Pages>17</Pages>
  <Words>1479</Words>
  <Characters>7219</Characters>
  <CharactersWithSpaces>8427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2019-04-02T13:22:00Z</dcterms:created>
  <dc:creator>Ing. Jana Pikešová</dc:creator>
  <dc:description/>
  <dc:language>cs-CZ</dc:language>
  <cp:lastModifiedBy>Markéta Sojková</cp:lastModifiedBy>
  <cp:lastPrinted>2021-04-26T05:54:00Z</cp:lastPrinted>
  <dcterms:modified xsi:type="dcterms:W3CDTF">2021-04-26T06:07:00Z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